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4D00DA0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A02AB5">
        <w:t>88bis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B33E9">
        <w:rPr>
          <w:szCs w:val="24"/>
        </w:rPr>
        <w:t>12821</w:t>
      </w:r>
    </w:p>
    <w:p w14:paraId="5E5109E4" w14:textId="2643D744" w:rsidR="008A22CF" w:rsidRPr="00915245" w:rsidRDefault="00A02AB5" w:rsidP="008A22CF">
      <w:pPr>
        <w:pStyle w:val="3GPPHeader"/>
      </w:pPr>
      <w:bookmarkStart w:id="1" w:name="OLE_LINK3"/>
      <w:bookmarkStart w:id="2" w:name="OLE_LINK4"/>
      <w:r>
        <w:t>Chengdu</w:t>
      </w:r>
      <w:r w:rsidR="00125DD0">
        <w:t>,</w:t>
      </w:r>
      <w:r w:rsidR="0057693F" w:rsidRPr="00915245">
        <w:t xml:space="preserve"> </w:t>
      </w:r>
      <w:r>
        <w:t>China</w:t>
      </w:r>
      <w:r w:rsidR="00437BE8" w:rsidRPr="00915245">
        <w:t xml:space="preserve">, </w:t>
      </w:r>
      <w:r>
        <w:t>8</w:t>
      </w:r>
      <w:r w:rsidR="00B96374" w:rsidRPr="00915245">
        <w:t xml:space="preserve"> </w:t>
      </w:r>
      <w:r w:rsidR="00126E1B" w:rsidRPr="00915245">
        <w:t xml:space="preserve">– </w:t>
      </w:r>
      <w:r w:rsidR="00A800A0">
        <w:t>12</w:t>
      </w:r>
      <w:r w:rsidR="00126E1B" w:rsidRPr="00915245">
        <w:t xml:space="preserve"> </w:t>
      </w:r>
      <w:r w:rsidR="002B2637">
        <w:t>July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65EB09DB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A02AB5">
        <w:rPr>
          <w:sz w:val="22"/>
        </w:rPr>
        <w:t>6.7.7</w:t>
      </w:r>
      <w:r w:rsidR="00217074">
        <w:rPr>
          <w:sz w:val="22"/>
        </w:rPr>
        <w:t>.1.2</w:t>
      </w:r>
      <w:bookmarkStart w:id="3" w:name="_GoBack"/>
      <w:bookmarkEnd w:id="3"/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6360B8E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A02AB5" w:rsidRPr="00A02AB5">
        <w:rPr>
          <w:sz w:val="22"/>
        </w:rPr>
        <w:t>Simulation results of SPDCCH for sTTI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5C4F47B" w14:textId="77777777" w:rsidR="002B2637" w:rsidRDefault="004B05C0" w:rsidP="00125DD0">
      <w:r>
        <w:t>RAN4#8</w:t>
      </w:r>
      <w:r w:rsidR="002B2637">
        <w:t>7</w:t>
      </w:r>
      <w:r>
        <w:t xml:space="preserve"> agreed with the </w:t>
      </w:r>
      <w:r w:rsidR="002B2637">
        <w:t xml:space="preserve">way forward on UE demodulation requirements </w:t>
      </w:r>
      <w:r>
        <w:t>for sTTI</w:t>
      </w:r>
      <w:r w:rsidR="00071742">
        <w:t xml:space="preserve"> </w:t>
      </w:r>
      <w:r w:rsidR="00071742">
        <w:fldChar w:fldCharType="begin"/>
      </w:r>
      <w:r w:rsidR="00071742">
        <w:instrText xml:space="preserve"> REF _Ref513384162 \r \h </w:instrText>
      </w:r>
      <w:r w:rsidR="00071742">
        <w:fldChar w:fldCharType="separate"/>
      </w:r>
      <w:r w:rsidR="0053139F">
        <w:t>[1]</w:t>
      </w:r>
      <w:r w:rsidR="00071742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37" w14:paraId="5D0F6364" w14:textId="77777777" w:rsidTr="009A6739">
        <w:tc>
          <w:tcPr>
            <w:tcW w:w="9629" w:type="dxa"/>
          </w:tcPr>
          <w:p w14:paraId="74C6E506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bookmarkStart w:id="4" w:name="_Hlk516492682"/>
            <w:r>
              <w:t>Consider EVA30 for CRS-based sPDCCH and sPDSCH performance requirements.</w:t>
            </w:r>
          </w:p>
          <w:p w14:paraId="0D4D0E78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>Consider dual layer for DMRS-based sPDSCH performance requirements.</w:t>
            </w:r>
          </w:p>
          <w:p w14:paraId="6030DA0C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>Companies are encouraged to provide the simulation results of sPDCCH and Slot/Subslot-PDSCH based on the agreement</w:t>
            </w:r>
          </w:p>
          <w:p w14:paraId="4D29F100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>Simulation assumption: R4-1805493</w:t>
            </w:r>
            <w:bookmarkEnd w:id="4"/>
          </w:p>
        </w:tc>
      </w:tr>
    </w:tbl>
    <w:p w14:paraId="22C54715" w14:textId="77777777" w:rsidR="002B2637" w:rsidRDefault="002B2637" w:rsidP="00125DD0"/>
    <w:p w14:paraId="2B8BAEBA" w14:textId="602007A4" w:rsidR="002B2637" w:rsidRDefault="004B05C0" w:rsidP="00125DD0">
      <w:r>
        <w:t>In this contribution we provide the simulation result</w:t>
      </w:r>
      <w:r w:rsidR="006371AD">
        <w:t xml:space="preserve">s for </w:t>
      </w:r>
      <w:r w:rsidR="0022326D">
        <w:t>both FDD and TDD</w:t>
      </w:r>
      <w:r w:rsidR="00846523">
        <w:t xml:space="preserve">. 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43FC3648" w14:textId="35E586E9" w:rsidR="0015637A" w:rsidRPr="0015637A" w:rsidRDefault="00846523" w:rsidP="0015637A">
      <w:pPr>
        <w:pStyle w:val="Heading2"/>
      </w:pPr>
      <w:r>
        <w:t>2.1</w:t>
      </w:r>
      <w:r w:rsidR="0058077F">
        <w:tab/>
      </w:r>
      <w:r>
        <w:t>CRS-based results</w:t>
      </w:r>
    </w:p>
    <w:p w14:paraId="13B781B2" w14:textId="49275AFE" w:rsidR="00A342E0" w:rsidRDefault="00B36177" w:rsidP="00B3617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_Ref510793270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15637A">
        <w:rPr>
          <w:lang w:val="en-GB"/>
        </w:rPr>
        <w:t xml:space="preserve">is the simulation results for DMRS-based SPDCCH </w:t>
      </w:r>
      <w:r>
        <w:rPr>
          <w:lang w:val="en-GB"/>
        </w:rPr>
        <w:t xml:space="preserve">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_Ref510793280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 w:rsidR="0015637A" w:rsidRPr="0015637A">
        <w:rPr>
          <w:lang w:val="en-GB"/>
        </w:rPr>
        <w:t xml:space="preserve"> </w:t>
      </w:r>
      <w:r w:rsidR="0015637A">
        <w:rPr>
          <w:lang w:val="en-GB"/>
        </w:rPr>
        <w:t>is the required SNR for 1% BLER.</w:t>
      </w:r>
    </w:p>
    <w:p w14:paraId="7868A58D" w14:textId="6E0BA9F2" w:rsidR="009E70F2" w:rsidRDefault="002E322B" w:rsidP="00846523">
      <w:pPr>
        <w:rPr>
          <w:lang w:val="en-GB"/>
        </w:rPr>
      </w:pPr>
      <w:r w:rsidRPr="002E322B">
        <w:rPr>
          <w:noProof/>
          <w:lang w:val="en-GB"/>
        </w:rPr>
        <w:lastRenderedPageBreak/>
        <w:drawing>
          <wp:inline distT="0" distB="0" distL="0" distR="0" wp14:anchorId="6F12FF81" wp14:editId="50839D34">
            <wp:extent cx="3803904" cy="28529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B75C" w14:textId="115C9ED7" w:rsidR="00144259" w:rsidRDefault="00144259" w:rsidP="00144259">
      <w:pPr>
        <w:pStyle w:val="Caption"/>
      </w:pPr>
      <w:bookmarkStart w:id="5" w:name="_Ref510793270"/>
      <w:r>
        <w:t xml:space="preserve">Figure </w:t>
      </w:r>
      <w:r w:rsidR="00DF0D6B">
        <w:fldChar w:fldCharType="begin"/>
      </w:r>
      <w:r w:rsidR="00DF0D6B">
        <w:instrText xml:space="preserve"> SEQ Figure \* ARABIC </w:instrText>
      </w:r>
      <w:r w:rsidR="00DF0D6B">
        <w:fldChar w:fldCharType="separate"/>
      </w:r>
      <w:r w:rsidR="0053139F">
        <w:rPr>
          <w:noProof/>
        </w:rPr>
        <w:t>1</w:t>
      </w:r>
      <w:r w:rsidR="00DF0D6B">
        <w:rPr>
          <w:noProof/>
        </w:rPr>
        <w:fldChar w:fldCharType="end"/>
      </w:r>
      <w:bookmarkEnd w:id="5"/>
      <w:r>
        <w:tab/>
        <w:t>CRS-based SPDCCH results.</w:t>
      </w:r>
    </w:p>
    <w:p w14:paraId="5553AD01" w14:textId="5886E759" w:rsidR="00144259" w:rsidRPr="00144259" w:rsidRDefault="00144259" w:rsidP="00144259">
      <w:pPr>
        <w:pStyle w:val="Caption"/>
      </w:pPr>
      <w:bookmarkStart w:id="6" w:name="_Ref510793280"/>
      <w:r>
        <w:t xml:space="preserve">Table </w:t>
      </w:r>
      <w:r w:rsidR="00DF0D6B">
        <w:fldChar w:fldCharType="begin"/>
      </w:r>
      <w:r w:rsidR="00DF0D6B">
        <w:instrText xml:space="preserve"> SEQ Table \* ARABIC </w:instrText>
      </w:r>
      <w:r w:rsidR="00DF0D6B">
        <w:fldChar w:fldCharType="separate"/>
      </w:r>
      <w:r w:rsidR="0053139F">
        <w:rPr>
          <w:noProof/>
        </w:rPr>
        <w:t>1</w:t>
      </w:r>
      <w:r w:rsidR="00DF0D6B">
        <w:rPr>
          <w:noProof/>
        </w:rPr>
        <w:fldChar w:fldCharType="end"/>
      </w:r>
      <w:bookmarkEnd w:id="6"/>
      <w:r>
        <w:tab/>
        <w:t xml:space="preserve">SNR </w:t>
      </w:r>
      <w:r w:rsidR="008E0A2D">
        <w:t xml:space="preserve">[dB] </w:t>
      </w:r>
      <w:r>
        <w:t>for 1% BLER (CRS-based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1"/>
        <w:gridCol w:w="579"/>
      </w:tblGrid>
      <w:tr w:rsidR="00CC3858" w14:paraId="3412E9AB" w14:textId="77777777" w:rsidTr="00144259">
        <w:tc>
          <w:tcPr>
            <w:tcW w:w="0" w:type="auto"/>
          </w:tcPr>
          <w:p w14:paraId="2D9CE0DE" w14:textId="77777777" w:rsidR="00CC3858" w:rsidRDefault="00CC3858" w:rsidP="00144259">
            <w:pPr>
              <w:spacing w:after="0"/>
            </w:pPr>
          </w:p>
        </w:tc>
        <w:tc>
          <w:tcPr>
            <w:tcW w:w="0" w:type="auto"/>
          </w:tcPr>
          <w:p w14:paraId="766B7C16" w14:textId="47ED3621" w:rsidR="00CC3858" w:rsidRDefault="00CC3858" w:rsidP="00144259">
            <w:pPr>
              <w:spacing w:after="0"/>
            </w:pPr>
            <w:r>
              <w:t>SNR</w:t>
            </w:r>
          </w:p>
        </w:tc>
      </w:tr>
      <w:tr w:rsidR="00CC3858" w14:paraId="5FFD4A62" w14:textId="77777777" w:rsidTr="00144259">
        <w:tc>
          <w:tcPr>
            <w:tcW w:w="0" w:type="auto"/>
          </w:tcPr>
          <w:p w14:paraId="33C3F971" w14:textId="54C9939E" w:rsidR="00CC3858" w:rsidRDefault="00CC3858" w:rsidP="00144259">
            <w:pPr>
              <w:spacing w:after="0"/>
            </w:pPr>
            <w:r>
              <w:t>Slot-based SPDCCH</w:t>
            </w:r>
            <w:r w:rsidR="002E322B">
              <w:t xml:space="preserve"> (FDD)</w:t>
            </w:r>
          </w:p>
        </w:tc>
        <w:tc>
          <w:tcPr>
            <w:tcW w:w="0" w:type="auto"/>
          </w:tcPr>
          <w:p w14:paraId="004531E8" w14:textId="5511619B" w:rsidR="00CC3858" w:rsidRDefault="00CC3858" w:rsidP="00144259">
            <w:pPr>
              <w:spacing w:after="0"/>
            </w:pPr>
            <w:r>
              <w:t>0.8</w:t>
            </w:r>
          </w:p>
        </w:tc>
      </w:tr>
      <w:tr w:rsidR="00CC3858" w14:paraId="22E99525" w14:textId="77777777" w:rsidTr="00144259">
        <w:tc>
          <w:tcPr>
            <w:tcW w:w="0" w:type="auto"/>
          </w:tcPr>
          <w:p w14:paraId="0D10180C" w14:textId="22AE1347" w:rsidR="00CC3858" w:rsidRDefault="00CC3858" w:rsidP="00144259">
            <w:pPr>
              <w:spacing w:after="0"/>
            </w:pPr>
            <w:r>
              <w:t>Subslot-based SPDCCH</w:t>
            </w:r>
            <w:r w:rsidR="002E322B">
              <w:t xml:space="preserve"> (FDD)</w:t>
            </w:r>
          </w:p>
        </w:tc>
        <w:tc>
          <w:tcPr>
            <w:tcW w:w="0" w:type="auto"/>
          </w:tcPr>
          <w:p w14:paraId="3D772AA6" w14:textId="48D6BE14" w:rsidR="00CC3858" w:rsidRDefault="00CC3858" w:rsidP="00144259">
            <w:pPr>
              <w:spacing w:after="0"/>
            </w:pPr>
            <w:r>
              <w:t>0.1</w:t>
            </w:r>
          </w:p>
        </w:tc>
      </w:tr>
      <w:tr w:rsidR="002E322B" w14:paraId="262319E0" w14:textId="77777777" w:rsidTr="00144259">
        <w:tc>
          <w:tcPr>
            <w:tcW w:w="0" w:type="auto"/>
          </w:tcPr>
          <w:p w14:paraId="05398BE0" w14:textId="40BC6DB1" w:rsidR="002E322B" w:rsidRDefault="002E322B" w:rsidP="00144259">
            <w:pPr>
              <w:spacing w:after="0"/>
            </w:pPr>
            <w:r>
              <w:t>Slot-based SPDCCH (TDD)</w:t>
            </w:r>
          </w:p>
        </w:tc>
        <w:tc>
          <w:tcPr>
            <w:tcW w:w="0" w:type="auto"/>
          </w:tcPr>
          <w:p w14:paraId="0BB7D2EA" w14:textId="31EC8165" w:rsidR="002E322B" w:rsidRDefault="00BB1B0A" w:rsidP="00144259">
            <w:pPr>
              <w:spacing w:after="0"/>
            </w:pPr>
            <w:r>
              <w:t>0.9</w:t>
            </w:r>
          </w:p>
        </w:tc>
      </w:tr>
    </w:tbl>
    <w:p w14:paraId="07C609CB" w14:textId="1598C3D1" w:rsidR="00144259" w:rsidRDefault="00144259" w:rsidP="00144259"/>
    <w:p w14:paraId="578ED223" w14:textId="267E0C7B" w:rsidR="00846523" w:rsidRDefault="00846523" w:rsidP="00846523">
      <w:pPr>
        <w:pStyle w:val="Heading2"/>
      </w:pPr>
      <w:r>
        <w:t>2.2</w:t>
      </w:r>
      <w:r w:rsidR="0058077F">
        <w:tab/>
      </w:r>
      <w:r>
        <w:t>DMRS-based results</w:t>
      </w:r>
    </w:p>
    <w:p w14:paraId="4CB18A5F" w14:textId="710DF118" w:rsidR="006A21FF" w:rsidRPr="006A21FF" w:rsidRDefault="006A21FF" w:rsidP="006A21F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_Ref510794079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results for DMRS-based SPDCCH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_Ref510794085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required SNR for 1% BLER. </w:t>
      </w:r>
    </w:p>
    <w:p w14:paraId="7C27FF7E" w14:textId="7C4A9861" w:rsidR="00BD449B" w:rsidRPr="00BD449B" w:rsidRDefault="00E930FC" w:rsidP="00BD449B">
      <w:pPr>
        <w:rPr>
          <w:lang w:val="en-GB"/>
        </w:rPr>
      </w:pPr>
      <w:r w:rsidRPr="00E930FC">
        <w:rPr>
          <w:noProof/>
          <w:lang w:val="en-GB"/>
        </w:rPr>
        <w:drawing>
          <wp:inline distT="0" distB="0" distL="0" distR="0" wp14:anchorId="67E1E9DE" wp14:editId="54C4C8C8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E948" w14:textId="2828CCB2" w:rsidR="00FF6451" w:rsidRDefault="00FF6451" w:rsidP="00FF6451">
      <w:pPr>
        <w:pStyle w:val="Caption"/>
      </w:pPr>
      <w:bookmarkStart w:id="7" w:name="_Ref510794079"/>
      <w:r>
        <w:t xml:space="preserve">Figure </w:t>
      </w:r>
      <w:r w:rsidR="00DF0D6B">
        <w:fldChar w:fldCharType="begin"/>
      </w:r>
      <w:r w:rsidR="00DF0D6B">
        <w:instrText xml:space="preserve"> SEQ Figure \* ARABIC </w:instrText>
      </w:r>
      <w:r w:rsidR="00DF0D6B">
        <w:fldChar w:fldCharType="separate"/>
      </w:r>
      <w:r w:rsidR="0053139F">
        <w:rPr>
          <w:noProof/>
        </w:rPr>
        <w:t>2</w:t>
      </w:r>
      <w:r w:rsidR="00DF0D6B">
        <w:rPr>
          <w:noProof/>
        </w:rPr>
        <w:fldChar w:fldCharType="end"/>
      </w:r>
      <w:bookmarkEnd w:id="7"/>
      <w:r>
        <w:tab/>
        <w:t>DMRS-based SPDCCH.</w:t>
      </w:r>
    </w:p>
    <w:p w14:paraId="170A1FF0" w14:textId="3C0AF7F5" w:rsidR="00FF6451" w:rsidRPr="00144259" w:rsidRDefault="00FF6451" w:rsidP="00FF6451">
      <w:pPr>
        <w:pStyle w:val="Caption"/>
      </w:pPr>
      <w:bookmarkStart w:id="8" w:name="_Ref510794085"/>
      <w:r>
        <w:t xml:space="preserve">Table </w:t>
      </w:r>
      <w:r w:rsidR="00DF0D6B">
        <w:fldChar w:fldCharType="begin"/>
      </w:r>
      <w:r w:rsidR="00DF0D6B">
        <w:instrText xml:space="preserve"> SEQ Table \* ARABIC </w:instrText>
      </w:r>
      <w:r w:rsidR="00DF0D6B">
        <w:fldChar w:fldCharType="separate"/>
      </w:r>
      <w:r w:rsidR="0053139F">
        <w:rPr>
          <w:noProof/>
        </w:rPr>
        <w:t>2</w:t>
      </w:r>
      <w:r w:rsidR="00DF0D6B">
        <w:rPr>
          <w:noProof/>
        </w:rPr>
        <w:fldChar w:fldCharType="end"/>
      </w:r>
      <w:bookmarkEnd w:id="8"/>
      <w:r>
        <w:tab/>
        <w:t>SNR [dB] for 1% BLER (DMRS-based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7"/>
        <w:gridCol w:w="579"/>
      </w:tblGrid>
      <w:tr w:rsidR="00FF6451" w14:paraId="6A2E598A" w14:textId="77777777" w:rsidTr="006337CF">
        <w:tc>
          <w:tcPr>
            <w:tcW w:w="0" w:type="auto"/>
          </w:tcPr>
          <w:p w14:paraId="7A77F72D" w14:textId="77777777" w:rsidR="00FF6451" w:rsidRDefault="00FF6451" w:rsidP="006337CF">
            <w:pPr>
              <w:spacing w:after="0"/>
            </w:pPr>
          </w:p>
        </w:tc>
        <w:tc>
          <w:tcPr>
            <w:tcW w:w="0" w:type="auto"/>
          </w:tcPr>
          <w:p w14:paraId="67527401" w14:textId="6AC9F1C5" w:rsidR="00FF6451" w:rsidRDefault="00FF6451" w:rsidP="006337CF">
            <w:pPr>
              <w:spacing w:after="0"/>
            </w:pPr>
            <w:r>
              <w:t>SNR</w:t>
            </w:r>
          </w:p>
        </w:tc>
      </w:tr>
      <w:tr w:rsidR="00FF6451" w14:paraId="7C4B2E90" w14:textId="77777777" w:rsidTr="006337CF">
        <w:tc>
          <w:tcPr>
            <w:tcW w:w="0" w:type="auto"/>
          </w:tcPr>
          <w:p w14:paraId="0F2DFE3E" w14:textId="18C82D20" w:rsidR="00FF6451" w:rsidRDefault="00FF6451" w:rsidP="006337CF">
            <w:pPr>
              <w:spacing w:after="0"/>
            </w:pPr>
            <w:r>
              <w:t>Slot-based SPDCCH</w:t>
            </w:r>
            <w:r w:rsidR="00BB1B0A">
              <w:t xml:space="preserve"> (FDD)</w:t>
            </w:r>
          </w:p>
        </w:tc>
        <w:tc>
          <w:tcPr>
            <w:tcW w:w="0" w:type="auto"/>
          </w:tcPr>
          <w:p w14:paraId="727F54B5" w14:textId="2E20F49C" w:rsidR="00FF6451" w:rsidRDefault="00FF6451" w:rsidP="006337CF">
            <w:pPr>
              <w:spacing w:after="0"/>
            </w:pPr>
            <w:r>
              <w:t>-0.4</w:t>
            </w:r>
          </w:p>
        </w:tc>
      </w:tr>
      <w:tr w:rsidR="00FF6451" w14:paraId="5337C5EE" w14:textId="77777777" w:rsidTr="006337CF">
        <w:tc>
          <w:tcPr>
            <w:tcW w:w="0" w:type="auto"/>
          </w:tcPr>
          <w:p w14:paraId="6B464CAF" w14:textId="2C31AB5A" w:rsidR="00FF6451" w:rsidRDefault="00FF6451" w:rsidP="006337CF">
            <w:pPr>
              <w:spacing w:after="0"/>
            </w:pPr>
            <w:r>
              <w:t>Subslot-based SPDCCH</w:t>
            </w:r>
            <w:r w:rsidR="00BB1B0A">
              <w:t xml:space="preserve"> (TDD)</w:t>
            </w:r>
          </w:p>
        </w:tc>
        <w:tc>
          <w:tcPr>
            <w:tcW w:w="0" w:type="auto"/>
          </w:tcPr>
          <w:p w14:paraId="02F8D7E1" w14:textId="02F4683E" w:rsidR="00FF6451" w:rsidRDefault="00FF6451" w:rsidP="006337CF">
            <w:pPr>
              <w:spacing w:after="0"/>
            </w:pPr>
            <w:r>
              <w:t>-</w:t>
            </w:r>
            <w:r w:rsidR="00C343FD">
              <w:t>0.9</w:t>
            </w:r>
          </w:p>
        </w:tc>
      </w:tr>
      <w:tr w:rsidR="00BB1B0A" w14:paraId="284792D7" w14:textId="77777777" w:rsidTr="006337CF">
        <w:tc>
          <w:tcPr>
            <w:tcW w:w="0" w:type="auto"/>
          </w:tcPr>
          <w:p w14:paraId="78CA546B" w14:textId="08DC8446" w:rsidR="00BB1B0A" w:rsidRDefault="00BB1B0A" w:rsidP="006337CF">
            <w:pPr>
              <w:spacing w:after="0"/>
            </w:pPr>
            <w:r>
              <w:t>Slot-based SPDCCH (TDD)</w:t>
            </w:r>
          </w:p>
        </w:tc>
        <w:tc>
          <w:tcPr>
            <w:tcW w:w="0" w:type="auto"/>
          </w:tcPr>
          <w:p w14:paraId="051596D1" w14:textId="5B0AF1E2" w:rsidR="00BB1B0A" w:rsidRDefault="00BB1B0A" w:rsidP="006337CF">
            <w:pPr>
              <w:spacing w:after="0"/>
            </w:pPr>
            <w:r>
              <w:t>-0.6</w:t>
            </w:r>
          </w:p>
        </w:tc>
      </w:tr>
    </w:tbl>
    <w:p w14:paraId="74152DB2" w14:textId="5FA5311A" w:rsidR="00A45473" w:rsidRDefault="00A45473" w:rsidP="00A45473">
      <w:pPr>
        <w:rPr>
          <w:lang w:val="en-GB"/>
        </w:rPr>
      </w:pPr>
    </w:p>
    <w:p w14:paraId="30895F8C" w14:textId="363E7E1E" w:rsidR="00D26404" w:rsidRDefault="00D26404" w:rsidP="00106574">
      <w:pPr>
        <w:pStyle w:val="Heading1"/>
      </w:pPr>
      <w:r>
        <w:t>References</w:t>
      </w:r>
    </w:p>
    <w:p w14:paraId="1ED31E70" w14:textId="77777777" w:rsidR="002B2637" w:rsidRPr="0092662B" w:rsidRDefault="002B2637" w:rsidP="002B2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6231610"/>
      <w:r w:rsidRPr="0092662B">
        <w:t>R4-180</w:t>
      </w:r>
      <w:r>
        <w:t>8475</w:t>
      </w:r>
      <w:r w:rsidRPr="0092662B">
        <w:t>, “</w:t>
      </w:r>
      <w:r w:rsidRPr="002E0DF0">
        <w:t>Way forward on sTTI UE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9"/>
    </w:p>
    <w:p w14:paraId="6CC7CD6D" w14:textId="77777777" w:rsidR="002B2637" w:rsidRDefault="002B2637" w:rsidP="00137D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B263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0A31" w14:textId="77777777" w:rsidR="00DF0D6B" w:rsidRDefault="00DF0D6B">
      <w:pPr>
        <w:spacing w:after="0"/>
      </w:pPr>
      <w:r>
        <w:separator/>
      </w:r>
    </w:p>
  </w:endnote>
  <w:endnote w:type="continuationSeparator" w:id="0">
    <w:p w14:paraId="2252B433" w14:textId="77777777" w:rsidR="00DF0D6B" w:rsidRDefault="00DF0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046DE81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721A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0A872" w14:textId="77777777" w:rsidR="00DF0D6B" w:rsidRDefault="00DF0D6B">
      <w:pPr>
        <w:spacing w:after="0"/>
      </w:pPr>
      <w:r>
        <w:separator/>
      </w:r>
    </w:p>
  </w:footnote>
  <w:footnote w:type="continuationSeparator" w:id="0">
    <w:p w14:paraId="2A2B55C8" w14:textId="77777777" w:rsidR="00DF0D6B" w:rsidRDefault="00DF0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54C2B"/>
    <w:multiLevelType w:val="hybridMultilevel"/>
    <w:tmpl w:val="3766C81C"/>
    <w:lvl w:ilvl="0" w:tplc="E6224D4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 w:numId="19">
    <w:abstractNumId w:val="13"/>
  </w:num>
  <w:num w:numId="2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8D2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742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EF1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574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61"/>
    <w:rsid w:val="00137DD1"/>
    <w:rsid w:val="0014031F"/>
    <w:rsid w:val="001403C8"/>
    <w:rsid w:val="0014096A"/>
    <w:rsid w:val="00140AD3"/>
    <w:rsid w:val="00143060"/>
    <w:rsid w:val="00143A83"/>
    <w:rsid w:val="00144259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37A"/>
    <w:rsid w:val="0015655C"/>
    <w:rsid w:val="00156C21"/>
    <w:rsid w:val="00156D46"/>
    <w:rsid w:val="0015739F"/>
    <w:rsid w:val="0016038E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074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26D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E02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A11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ECA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37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210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22B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720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4FEA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45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C0A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39F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3E9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9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C2F"/>
    <w:rsid w:val="006A0DAD"/>
    <w:rsid w:val="006A1752"/>
    <w:rsid w:val="006A21F7"/>
    <w:rsid w:val="006A21FF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6CA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19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63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0A2D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946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F93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62B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372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1A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0F2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2AB5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2E0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57F90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0A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6AF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303"/>
    <w:rsid w:val="00AF0542"/>
    <w:rsid w:val="00AF0A2F"/>
    <w:rsid w:val="00AF0F4C"/>
    <w:rsid w:val="00AF2460"/>
    <w:rsid w:val="00AF3171"/>
    <w:rsid w:val="00AF3A80"/>
    <w:rsid w:val="00AF3D77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7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CD8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B0A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49B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0CB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3FD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C15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0E57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858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683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057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4F14"/>
    <w:rsid w:val="00D85623"/>
    <w:rsid w:val="00D8596E"/>
    <w:rsid w:val="00D85F49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6B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0FC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E2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C4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451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33E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33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3E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8AC4ACF-9D80-46CE-826A-D728EDE3D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2018-09-28T13:13:00Z</dcterms:modified>
</cp:coreProperties>
</file>